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DE" w:rsidRDefault="00CC0DDE" w:rsidP="006A34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БУКОВИНСЬКИЙ ДЕРЖАВНИЙ МЕДИЧНИЙ УНІВЕРСИТЕТ </w:t>
      </w:r>
    </w:p>
    <w:p w:rsidR="00CC0DDE" w:rsidRDefault="00CC0DDE" w:rsidP="006A34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C0DDE" w:rsidRDefault="00CC0DDE" w:rsidP="00CC0D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Список з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>аяв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ок 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>на включення науков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их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 xml:space="preserve"> повідомлен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ь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 xml:space="preserve"> до Переліку 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br/>
        <w:t xml:space="preserve">наукової (науково-технічної) продукції призначеної для впровадження досягнень медичної науки у сферу охорони здоров’я 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 202</w:t>
      </w:r>
      <w:r w:rsidR="00304BA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році.</w:t>
      </w:r>
    </w:p>
    <w:p w:rsidR="00CC0DDE" w:rsidRDefault="00CC0DDE" w:rsidP="00CC0D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967"/>
        <w:gridCol w:w="2272"/>
        <w:gridCol w:w="1584"/>
      </w:tblGrid>
      <w:tr w:rsidR="00304BA3" w:rsidRPr="00A80637" w:rsidTr="00B53D1E">
        <w:trPr>
          <w:tblHeader/>
          <w:tblCellSpacing w:w="0" w:type="dxa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04BA3" w:rsidRPr="00A80637" w:rsidRDefault="00304BA3" w:rsidP="00CC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8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04BA3" w:rsidRPr="00A80637" w:rsidRDefault="00304BA3" w:rsidP="00CC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8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A8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нововведення</w:t>
            </w:r>
            <w:proofErr w:type="spellEnd"/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4BA3" w:rsidRPr="00A80637" w:rsidRDefault="00304BA3" w:rsidP="00CC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8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Автори</w:t>
            </w:r>
            <w:proofErr w:type="spellEnd"/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4BA3" w:rsidRPr="00A80637" w:rsidRDefault="00A80637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80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Реєстр. №</w:t>
            </w:r>
          </w:p>
        </w:tc>
      </w:tr>
      <w:tr w:rsidR="00304BA3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304BA3" w:rsidRPr="00A80637" w:rsidRDefault="00304BA3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304BA3" w:rsidRPr="00DF1A38" w:rsidRDefault="00304BA3" w:rsidP="00304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діагностики первинної плацентарної дисфункції у жінок на тлі запальних захворювань жіночих статевих органів в 12-13 тижнів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гестації</w:t>
            </w:r>
            <w:proofErr w:type="spellEnd"/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  <w:hideMark/>
          </w:tcPr>
          <w:p w:rsidR="00304BA3" w:rsidRPr="00DF1A38" w:rsidRDefault="00304BA3" w:rsidP="00A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063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F81647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9/10/24</w:t>
            </w:r>
          </w:p>
        </w:tc>
      </w:tr>
      <w:tr w:rsidR="00304BA3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304BA3" w:rsidRPr="00A80637" w:rsidRDefault="00304BA3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304BA3" w:rsidRPr="00DF1A38" w:rsidRDefault="00304BA3" w:rsidP="00304BA3">
            <w:pPr>
              <w:shd w:val="clear" w:color="auto" w:fill="FFFFFF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діагностики порушень плацентарного комплексу у жінок на тлі запальних захворювань жіночих статевих органів в 7-8 тижнів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гестації</w:t>
            </w:r>
            <w:proofErr w:type="spellEnd"/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  <w:hideMark/>
          </w:tcPr>
          <w:p w:rsidR="00304BA3" w:rsidRPr="00DF1A38" w:rsidRDefault="00304BA3" w:rsidP="00A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063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F81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8/10/24</w:t>
            </w:r>
          </w:p>
        </w:tc>
      </w:tr>
      <w:tr w:rsidR="00304BA3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304BA3" w:rsidRPr="00A80637" w:rsidRDefault="00304BA3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304BA3" w:rsidRPr="00DF1A38" w:rsidRDefault="00304BA3" w:rsidP="00304BA3">
            <w:pPr>
              <w:shd w:val="clear" w:color="auto" w:fill="FFFFFF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до клінічної діагностики порушення компенсаторно-пристосувальних механізмів у вагітних з вузловим зобом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  <w:hideMark/>
          </w:tcPr>
          <w:p w:rsidR="00304BA3" w:rsidRPr="00DF1A38" w:rsidRDefault="00304BA3" w:rsidP="00A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Косілова С</w:t>
            </w:r>
            <w:r w:rsidR="00A8063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.Є.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B53D1E" w:rsidP="00B53D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10/10/24</w:t>
            </w:r>
          </w:p>
        </w:tc>
      </w:tr>
      <w:tr w:rsidR="00304BA3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A80637" w:rsidRDefault="00304BA3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304BA3" w:rsidP="00304BA3">
            <w:pPr>
              <w:shd w:val="clear" w:color="auto" w:fill="FFFFFF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диференційної діагностики плацентарної дисфункції в І триместрі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гестації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вагітних різних груп ризику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304BA3" w:rsidRPr="00DF1A38" w:rsidRDefault="00304BA3" w:rsidP="00A8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  <w:r w:rsidR="00A8063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B5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11/10/24</w:t>
            </w:r>
          </w:p>
        </w:tc>
      </w:tr>
      <w:tr w:rsidR="00304BA3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A80637" w:rsidRDefault="00304BA3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304BA3" w:rsidP="00304BA3">
            <w:pPr>
              <w:shd w:val="clear" w:color="auto" w:fill="FFFFFF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профілактики затримки розвитку плода у вагітних з плацентарною дисфункцією на тлі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невиношування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 триместрі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гестації</w:t>
            </w:r>
            <w:proofErr w:type="spellEnd"/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304BA3" w:rsidRPr="00DF1A38" w:rsidRDefault="00304BA3" w:rsidP="00A8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  <w:r w:rsidR="00A8063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B5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12/10/24</w:t>
            </w:r>
          </w:p>
        </w:tc>
      </w:tr>
      <w:tr w:rsidR="00EE67B8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E67B8" w:rsidRPr="00A80637" w:rsidRDefault="00EE67B8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E67B8" w:rsidRPr="00DF1A38" w:rsidRDefault="00EE67B8" w:rsidP="00EE67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лікування плацентарної дисфункції у жінок з відшаруванням хоріону в І триместрі вагітності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E67B8" w:rsidRPr="00DF1A38" w:rsidRDefault="00EE67B8" w:rsidP="00A80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Ясніковська </w:t>
            </w:r>
            <w:r w:rsidR="00A8063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E67B8" w:rsidRPr="00DF1A38" w:rsidRDefault="00B53D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13/10/24</w:t>
            </w:r>
          </w:p>
        </w:tc>
      </w:tr>
      <w:tr w:rsidR="00F52B06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52B06" w:rsidRPr="00A80637" w:rsidRDefault="00F52B06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52B06" w:rsidRPr="00DF1A38" w:rsidRDefault="00F52B06" w:rsidP="00F52B06">
            <w:pPr>
              <w:shd w:val="clear" w:color="auto" w:fill="FFFFFF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діагностики порушень функціонального стану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кишечника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передчасно народжених дітей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52B06" w:rsidRPr="00DF1A38" w:rsidRDefault="00F52B06" w:rsidP="00A8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Годованець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A80637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О.С.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52B06" w:rsidRPr="00DF1A38" w:rsidRDefault="00B53D1E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31/10/24</w:t>
            </w:r>
          </w:p>
        </w:tc>
      </w:tr>
      <w:tr w:rsidR="00304BA3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A80637" w:rsidRDefault="00304BA3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F52B06" w:rsidP="00B53D1E">
            <w:pPr>
              <w:pStyle w:val="rvps2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>Спосіб діагностики енергетичної недостатності у передчасно народжених дітей за умов пологового стресу.</w:t>
            </w:r>
            <w:bookmarkStart w:id="0" w:name="n33"/>
            <w:bookmarkEnd w:id="0"/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304BA3" w:rsidRPr="00DF1A38" w:rsidRDefault="00F52B06" w:rsidP="00A8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Годованець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A80637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О.С.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04BA3" w:rsidRPr="00DF1A38" w:rsidRDefault="00B53D1E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29/10/24</w:t>
            </w:r>
          </w:p>
        </w:tc>
      </w:tr>
      <w:tr w:rsidR="00F52B06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52B06" w:rsidRPr="00A80637" w:rsidRDefault="00F52B06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52B06" w:rsidRPr="00DF1A38" w:rsidRDefault="006E6F0D" w:rsidP="00F52B06">
            <w:pPr>
              <w:pStyle w:val="rvps2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 xml:space="preserve"> Оптимізація лікування туберкульозу з множинною лікарською стійкістю на тлі цукрового діабету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52B06" w:rsidRPr="00DF1A38" w:rsidRDefault="006E6F0D" w:rsidP="00A806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Тодоріко </w:t>
            </w:r>
            <w:r w:rsidR="00A80637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Л.Д.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Сем’янів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A80637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І.О.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52B06" w:rsidRPr="00DF1A38" w:rsidRDefault="00B53D1E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Pr="00DF1A38">
              <w:rPr>
                <w:rFonts w:ascii="Times New Roman" w:hAnsi="Times New Roman" w:cs="Times New Roman"/>
                <w:sz w:val="28"/>
                <w:szCs w:val="28"/>
              </w:rPr>
              <w:t>50/10/24</w:t>
            </w:r>
          </w:p>
        </w:tc>
      </w:tr>
      <w:tr w:rsidR="00FB722A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A80637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B722A">
            <w:pPr>
              <w:pStyle w:val="rvps2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 xml:space="preserve">Спосіб корекції інтенсивності прогресування неалкогольного </w:t>
            </w:r>
            <w:proofErr w:type="spellStart"/>
            <w:r w:rsidRPr="00DF1A38">
              <w:rPr>
                <w:iCs/>
                <w:color w:val="000000"/>
                <w:sz w:val="28"/>
                <w:szCs w:val="28"/>
              </w:rPr>
              <w:t>стеатогепатиту</w:t>
            </w:r>
            <w:proofErr w:type="spellEnd"/>
            <w:r w:rsidRPr="00DF1A38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F1A38">
              <w:rPr>
                <w:iCs/>
                <w:color w:val="000000"/>
                <w:sz w:val="28"/>
                <w:szCs w:val="28"/>
              </w:rPr>
              <w:t>коморбідності</w:t>
            </w:r>
            <w:proofErr w:type="spellEnd"/>
            <w:r w:rsidRPr="00DF1A38">
              <w:rPr>
                <w:iCs/>
                <w:color w:val="000000"/>
                <w:sz w:val="28"/>
                <w:szCs w:val="28"/>
              </w:rPr>
              <w:t xml:space="preserve"> з хронічною хворобою нирок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A806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Антонів </w:t>
            </w:r>
            <w:r w:rsidR="00A80637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А.А.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Хухліна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A80637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О.С.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Коцюбійчук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A80637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З.Я.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B53D1E" w:rsidP="00B5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58/10/24</w:t>
            </w:r>
          </w:p>
        </w:tc>
      </w:tr>
      <w:tr w:rsidR="00FB722A" w:rsidRPr="002F7E01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A80637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B722A">
            <w:pPr>
              <w:pStyle w:val="rvps2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 xml:space="preserve">Спосіб корекції артеріальної гіпертензії за </w:t>
            </w:r>
            <w:proofErr w:type="spellStart"/>
            <w:r w:rsidRPr="00DF1A38">
              <w:rPr>
                <w:iCs/>
                <w:color w:val="000000"/>
                <w:sz w:val="28"/>
                <w:szCs w:val="28"/>
              </w:rPr>
              <w:t>коморбідного</w:t>
            </w:r>
            <w:proofErr w:type="spellEnd"/>
            <w:r w:rsidRPr="00DF1A38">
              <w:rPr>
                <w:iCs/>
                <w:color w:val="000000"/>
                <w:sz w:val="28"/>
                <w:szCs w:val="28"/>
              </w:rPr>
              <w:t xml:space="preserve"> перебігу з неалкогольною жировою хворобою печінки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Антонів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А.А.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Хухліна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О.С.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Коцюбійчук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З.Я.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B53D1E" w:rsidP="00F8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57/10/24</w:t>
            </w:r>
          </w:p>
        </w:tc>
      </w:tr>
      <w:tr w:rsidR="00FB722A" w:rsidRPr="002F7E01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2F7E01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B722A">
            <w:pPr>
              <w:pStyle w:val="rvps2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 xml:space="preserve">Спосіб корекції функціонального стану ендотелію у хворих на неалкогольний </w:t>
            </w:r>
            <w:proofErr w:type="spellStart"/>
            <w:r w:rsidRPr="00DF1A38">
              <w:rPr>
                <w:iCs/>
                <w:color w:val="000000"/>
                <w:sz w:val="28"/>
                <w:szCs w:val="28"/>
              </w:rPr>
              <w:t>стеатогепатит</w:t>
            </w:r>
            <w:proofErr w:type="spellEnd"/>
            <w:r w:rsidRPr="00DF1A38">
              <w:rPr>
                <w:iCs/>
                <w:color w:val="000000"/>
                <w:sz w:val="28"/>
                <w:szCs w:val="28"/>
              </w:rPr>
              <w:t xml:space="preserve"> та хронічну хворобу нирок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Антонів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А.А.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Хухліна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О.С.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Коцюбійчук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З.Я.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60/10/24</w:t>
            </w:r>
          </w:p>
        </w:tc>
      </w:tr>
      <w:tr w:rsidR="00FB722A" w:rsidRPr="002F7E01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A80637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B722A">
            <w:pPr>
              <w:pStyle w:val="rvps2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>Спосіб діагностики та прогнозування есенційної артеріальної гіпертензії з урахуванням метаболічних та молекулярних чинників її несприятливого перебігу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Сидорчук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Л.П.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Сем’янів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М.М.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113/10/24</w:t>
            </w:r>
          </w:p>
        </w:tc>
      </w:tr>
      <w:tr w:rsidR="00FB722A" w:rsidRPr="002F7E01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A80637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B722A">
            <w:pPr>
              <w:pStyle w:val="rvps2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>Спосіб удосконалення діагностики та прогнозування тяжкого перебігу артеріальної гіпертензії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Сидорчук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Л.П.</w:t>
            </w:r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Репчук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Ю.В.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115/10/24</w:t>
            </w:r>
          </w:p>
        </w:tc>
      </w:tr>
      <w:tr w:rsidR="00FB722A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A80637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B722A">
            <w:pPr>
              <w:pStyle w:val="rvps2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 xml:space="preserve">Спосіб прогнозування тяжкості перебігу </w:t>
            </w:r>
            <w:proofErr w:type="spellStart"/>
            <w:r w:rsidRPr="00DF1A38">
              <w:rPr>
                <w:iCs/>
                <w:color w:val="000000"/>
                <w:sz w:val="28"/>
                <w:szCs w:val="28"/>
              </w:rPr>
              <w:t>атопічного</w:t>
            </w:r>
            <w:proofErr w:type="spellEnd"/>
            <w:r w:rsidRPr="00DF1A38">
              <w:rPr>
                <w:iCs/>
                <w:color w:val="000000"/>
                <w:sz w:val="28"/>
                <w:szCs w:val="28"/>
              </w:rPr>
              <w:t xml:space="preserve"> дерматиту в дітей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Сорокман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35/10/24</w:t>
            </w:r>
          </w:p>
        </w:tc>
      </w:tr>
      <w:tr w:rsidR="00FB722A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A80637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B722A">
            <w:pPr>
              <w:pStyle w:val="rvps2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 xml:space="preserve">Спосіб удосконалення лікування виразки дванадцятипалої кишки в дітей асоційованої із H. </w:t>
            </w:r>
            <w:proofErr w:type="spellStart"/>
            <w:r w:rsidRPr="00DF1A38">
              <w:rPr>
                <w:iCs/>
                <w:color w:val="000000"/>
                <w:sz w:val="28"/>
                <w:szCs w:val="28"/>
              </w:rPr>
              <w:t>pylori</w:t>
            </w:r>
            <w:proofErr w:type="spellEnd"/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Сорокман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44/10/24</w:t>
            </w:r>
          </w:p>
        </w:tc>
      </w:tr>
      <w:tr w:rsidR="00FB722A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A80637" w:rsidRDefault="00FB722A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FB722A" w:rsidP="00F52B06">
            <w:pPr>
              <w:pStyle w:val="rvps2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DF1A38">
              <w:rPr>
                <w:iCs/>
                <w:color w:val="000000"/>
                <w:sz w:val="28"/>
                <w:szCs w:val="28"/>
              </w:rPr>
              <w:t>Спосіб прогнозування загострення дуоденальної виразки у дітей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FB722A" w:rsidRPr="00DF1A38" w:rsidRDefault="00FB722A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Сорокман</w:t>
            </w:r>
            <w:proofErr w:type="spellEnd"/>
            <w:r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FB722A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43/10/24</w:t>
            </w:r>
          </w:p>
        </w:tc>
      </w:tr>
      <w:tr w:rsidR="00613D4C" w:rsidRPr="002F7E01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A80637" w:rsidRDefault="00613D4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613D4C" w:rsidP="00B21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диференційної діагностики неалкогольної жирової хвороби печ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інки в залежності від її форми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613D4C" w:rsidRPr="00DF1A38" w:rsidRDefault="00613D4C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А.А.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З.Я.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Каньовська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B53D1E" w:rsidP="00B53D1E">
            <w:pPr>
              <w:tabs>
                <w:tab w:val="center" w:pos="7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55/10/24</w:t>
            </w:r>
          </w:p>
        </w:tc>
      </w:tr>
      <w:tr w:rsidR="00613D4C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A80637" w:rsidRDefault="00613D4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613D4C" w:rsidP="00B21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покращення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ендотеліальної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дисфункції судин у хворих на неалкогольну жирову хвороб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печінки залежно від її форми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613D4C" w:rsidRPr="00DF1A38" w:rsidRDefault="00613D4C" w:rsidP="002F7E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А.А.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З.Я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Каньовська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7E01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62/10/24</w:t>
            </w:r>
          </w:p>
        </w:tc>
      </w:tr>
      <w:tr w:rsidR="00613D4C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A80637" w:rsidRDefault="00613D4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613D4C" w:rsidP="00B21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корекції порушень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оксидантно-антиоксидантного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гомеостазу у хворих на неалкогольний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стеатогепатит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коморбідності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вторинною артеріальною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гіпертензією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613D4C" w:rsidRPr="00DF1A38" w:rsidRDefault="00613D4C" w:rsidP="00F816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А.А.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З.Я,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Каньовська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59/10/24</w:t>
            </w:r>
          </w:p>
        </w:tc>
      </w:tr>
      <w:tr w:rsidR="00613D4C" w:rsidRPr="00A8063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A80637" w:rsidRDefault="00613D4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613D4C" w:rsidP="00B21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лікування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неалкогольного </w:t>
            </w:r>
            <w:proofErr w:type="spellStart"/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стеатогепатиту</w:t>
            </w:r>
            <w:proofErr w:type="spellEnd"/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613D4C" w:rsidRPr="00DF1A38" w:rsidRDefault="00613D4C" w:rsidP="00F816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Антонів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А.А.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Хухліна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bookmarkStart w:id="1" w:name="_GoBack"/>
            <w:bookmarkEnd w:id="1"/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З.Я.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Каньовська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613D4C" w:rsidRPr="00DF1A38" w:rsidRDefault="00DF1A38" w:rsidP="00D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61/10/24</w:t>
            </w:r>
          </w:p>
        </w:tc>
      </w:tr>
      <w:tr w:rsidR="00381D53" w:rsidRPr="00F81647" w:rsidTr="00B53D1E">
        <w:trPr>
          <w:tblCellSpacing w:w="0" w:type="dxa"/>
        </w:trPr>
        <w:tc>
          <w:tcPr>
            <w:tcW w:w="5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81D53" w:rsidRPr="00A80637" w:rsidRDefault="00381D53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81D53" w:rsidRPr="00DF1A38" w:rsidRDefault="00381D53" w:rsidP="00B21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Стандартизація медичної допомоги: клініко-діагностичні алгоритми дій при захворюваннях органів сечовиділення у дітей в практиці лікаря загально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практики – сімейної медицини</w:t>
            </w:r>
          </w:p>
        </w:tc>
        <w:tc>
          <w:tcPr>
            <w:tcW w:w="22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381D53" w:rsidRPr="00DF1A38" w:rsidRDefault="00381D53" w:rsidP="00F81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Безрук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Андрійчук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Шкробанець</w:t>
            </w:r>
            <w:proofErr w:type="spellEnd"/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І.Д.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Нечитайло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Ю.М.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Андрійчук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Д.Р.</w:t>
            </w:r>
            <w:r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Андрійчук </w:t>
            </w:r>
            <w:r w:rsidR="00F81647" w:rsidRPr="00DF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Т.Р.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381D53" w:rsidRPr="00DF1A38" w:rsidRDefault="00DF1A38" w:rsidP="00F5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A38">
              <w:rPr>
                <w:rFonts w:ascii="Times New Roman" w:hAnsi="Times New Roman" w:cs="Times New Roman"/>
                <w:bCs/>
                <w:sz w:val="28"/>
                <w:szCs w:val="28"/>
              </w:rPr>
              <w:t>№ 38/10/24</w:t>
            </w:r>
          </w:p>
        </w:tc>
      </w:tr>
    </w:tbl>
    <w:p w:rsidR="00E5247C" w:rsidRPr="00FB722A" w:rsidRDefault="00E5247C" w:rsidP="006E69A5">
      <w:pPr>
        <w:rPr>
          <w:lang w:val="uk-UA"/>
        </w:rPr>
      </w:pPr>
    </w:p>
    <w:sectPr w:rsidR="00E5247C" w:rsidRPr="00FB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B0F"/>
    <w:multiLevelType w:val="hybridMultilevel"/>
    <w:tmpl w:val="932EF422"/>
    <w:lvl w:ilvl="0" w:tplc="206043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165005"/>
    <w:multiLevelType w:val="multilevel"/>
    <w:tmpl w:val="227E8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778056E"/>
    <w:multiLevelType w:val="multilevel"/>
    <w:tmpl w:val="40C67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60CA7090"/>
    <w:multiLevelType w:val="multilevel"/>
    <w:tmpl w:val="58D076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3D1E9F"/>
    <w:multiLevelType w:val="multilevel"/>
    <w:tmpl w:val="4E964A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>
    <w:nsid w:val="7263049F"/>
    <w:multiLevelType w:val="hybridMultilevel"/>
    <w:tmpl w:val="02A0F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7C"/>
    <w:rsid w:val="00017690"/>
    <w:rsid w:val="001C1938"/>
    <w:rsid w:val="002F7E01"/>
    <w:rsid w:val="00304BA3"/>
    <w:rsid w:val="00380C0C"/>
    <w:rsid w:val="00381D53"/>
    <w:rsid w:val="003F7301"/>
    <w:rsid w:val="0044628F"/>
    <w:rsid w:val="004646D4"/>
    <w:rsid w:val="004A360A"/>
    <w:rsid w:val="004A7783"/>
    <w:rsid w:val="00563E16"/>
    <w:rsid w:val="005C5A4B"/>
    <w:rsid w:val="00613D4C"/>
    <w:rsid w:val="00617C4F"/>
    <w:rsid w:val="00635CA0"/>
    <w:rsid w:val="006500A1"/>
    <w:rsid w:val="00652F79"/>
    <w:rsid w:val="00692C5E"/>
    <w:rsid w:val="006E5CE2"/>
    <w:rsid w:val="006E69A5"/>
    <w:rsid w:val="006E6F0D"/>
    <w:rsid w:val="00731753"/>
    <w:rsid w:val="007D1DA2"/>
    <w:rsid w:val="00A61B1F"/>
    <w:rsid w:val="00A80637"/>
    <w:rsid w:val="00AB6A9F"/>
    <w:rsid w:val="00B03A35"/>
    <w:rsid w:val="00B53D1E"/>
    <w:rsid w:val="00C13952"/>
    <w:rsid w:val="00CC0DDE"/>
    <w:rsid w:val="00CF02CA"/>
    <w:rsid w:val="00D27E6D"/>
    <w:rsid w:val="00DA5F9E"/>
    <w:rsid w:val="00DD1EE7"/>
    <w:rsid w:val="00DF1A38"/>
    <w:rsid w:val="00DF5A3A"/>
    <w:rsid w:val="00DF5F6E"/>
    <w:rsid w:val="00E5247C"/>
    <w:rsid w:val="00EE67B8"/>
    <w:rsid w:val="00F52B06"/>
    <w:rsid w:val="00F73344"/>
    <w:rsid w:val="00F73BDD"/>
    <w:rsid w:val="00F81647"/>
    <w:rsid w:val="00FB722A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7C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5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7C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5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2391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Admin</cp:lastModifiedBy>
  <cp:revision>3</cp:revision>
  <cp:lastPrinted>2023-11-27T09:26:00Z</cp:lastPrinted>
  <dcterms:created xsi:type="dcterms:W3CDTF">2024-05-24T08:23:00Z</dcterms:created>
  <dcterms:modified xsi:type="dcterms:W3CDTF">2024-05-24T09:13:00Z</dcterms:modified>
</cp:coreProperties>
</file>